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3F08E" w14:textId="77777777" w:rsidR="001B2F3C" w:rsidRDefault="001B2F3C" w:rsidP="001B2F3C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544163" wp14:editId="585D587E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75AF3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ЗАНЯТОСТЬ И БЕЗРАБОТИЦА </w:t>
      </w:r>
    </w:p>
    <w:p w14:paraId="13305C5E" w14:textId="77777777" w:rsidR="001B2F3C" w:rsidRDefault="001B2F3C" w:rsidP="001B2F3C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ЧЕЧЕНСКОЙ РЕСПУБЛИКЕ</w:t>
      </w:r>
    </w:p>
    <w:p w14:paraId="18A6E113" w14:textId="34BB6DD2" w:rsidR="001B2F3C" w:rsidRPr="00BA4305" w:rsidRDefault="001B2F3C" w:rsidP="001B2F3C">
      <w:pPr>
        <w:pStyle w:val="a3"/>
        <w:spacing w:before="240"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</w:pPr>
      <w:r w:rsidRPr="00BA4305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в среднем </w:t>
      </w:r>
      <w:r w:rsidR="00BB72E2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за</w:t>
      </w:r>
      <w:r w:rsidRPr="00BA4305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 </w:t>
      </w:r>
      <w:r w:rsidR="00963CEE" w:rsidRPr="00963CEE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3 квартал</w:t>
      </w:r>
      <w:r w:rsidRPr="00963CEE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 </w:t>
      </w:r>
      <w:r w:rsidRPr="00BA4305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2024 г.</w:t>
      </w:r>
      <w:r w:rsidRPr="00BA4305">
        <w:rPr>
          <w:rFonts w:ascii="Arial" w:hAnsi="Arial" w:cs="Arial"/>
          <w:b/>
          <w:bCs/>
          <w:noProof/>
          <w:color w:val="363194" w:themeColor="accent1"/>
          <w:sz w:val="26"/>
          <w:szCs w:val="26"/>
          <w:vertAlign w:val="superscript"/>
        </w:rPr>
        <w:t>1)</w:t>
      </w:r>
    </w:p>
    <w:p w14:paraId="55156567" w14:textId="77777777" w:rsidR="001B2F3C" w:rsidRPr="00BA4305" w:rsidRDefault="001B2F3C" w:rsidP="001B2F3C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</w:pPr>
      <w:r w:rsidRPr="00BA4305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(по данным выборочного обследования рабочей силы)</w:t>
      </w:r>
    </w:p>
    <w:p w14:paraId="136D0DC8" w14:textId="77777777" w:rsidR="00D61110" w:rsidRPr="001B2F3C" w:rsidRDefault="00D61110" w:rsidP="00D61110">
      <w:pPr>
        <w:ind w:left="-113" w:right="-113"/>
        <w:jc w:val="center"/>
        <w:rPr>
          <w:rFonts w:ascii="Arial" w:hAnsi="Arial" w:cs="Arial"/>
          <w:color w:val="282A2E"/>
          <w:sz w:val="26"/>
          <w:szCs w:val="26"/>
        </w:rPr>
      </w:pPr>
      <w:r w:rsidRPr="001B2F3C">
        <w:rPr>
          <w:rFonts w:ascii="Arial" w:hAnsi="Arial" w:cs="Arial"/>
          <w:color w:val="282A2E"/>
          <w:sz w:val="26"/>
          <w:szCs w:val="26"/>
        </w:rPr>
        <w:t xml:space="preserve">                              </w:t>
      </w:r>
    </w:p>
    <w:p w14:paraId="54B0B41F" w14:textId="57EB990D" w:rsidR="001B2F3C" w:rsidRPr="001B2F3C" w:rsidRDefault="001B2F3C" w:rsidP="001B2F3C">
      <w:pPr>
        <w:spacing w:after="0" w:line="240" w:lineRule="auto"/>
        <w:jc w:val="center"/>
        <w:rPr>
          <w:rFonts w:ascii="Arial" w:hAnsi="Arial" w:cs="Arial"/>
          <w:b/>
          <w:bCs/>
          <w:color w:val="363194" w:themeColor="accent1"/>
          <w:sz w:val="26"/>
          <w:szCs w:val="26"/>
          <w:vertAlign w:val="superscript"/>
        </w:rPr>
      </w:pPr>
      <w:r w:rsidRPr="001B2F3C">
        <w:rPr>
          <w:rFonts w:ascii="Arial" w:hAnsi="Arial" w:cs="Arial"/>
          <w:b/>
          <w:bCs/>
          <w:color w:val="363194" w:themeColor="accent1"/>
          <w:sz w:val="26"/>
          <w:szCs w:val="26"/>
        </w:rPr>
        <w:t>численности рабочей силы</w:t>
      </w:r>
    </w:p>
    <w:p w14:paraId="19FAE13B" w14:textId="438382E9" w:rsidR="001B2F3C" w:rsidRPr="001B2F3C" w:rsidRDefault="001B2F3C" w:rsidP="001B2F3C">
      <w:pPr>
        <w:spacing w:after="0" w:line="240" w:lineRule="auto"/>
        <w:jc w:val="center"/>
        <w:rPr>
          <w:rFonts w:ascii="Arial" w:hAnsi="Arial" w:cs="Arial"/>
          <w:b/>
          <w:bCs/>
          <w:color w:val="363194" w:themeColor="accent1"/>
          <w:sz w:val="26"/>
          <w:szCs w:val="26"/>
        </w:rPr>
      </w:pPr>
      <w:r w:rsidRPr="001B2F3C">
        <w:rPr>
          <w:rFonts w:ascii="Arial" w:hAnsi="Arial" w:cs="Arial"/>
          <w:b/>
          <w:bCs/>
          <w:color w:val="363194" w:themeColor="accent1"/>
          <w:sz w:val="26"/>
          <w:szCs w:val="26"/>
        </w:rPr>
        <w:t>в возрасте 15 лет и старше</w:t>
      </w:r>
    </w:p>
    <w:p w14:paraId="489F515A" w14:textId="77777777" w:rsidR="001B2F3C" w:rsidRPr="001B2F3C" w:rsidRDefault="001B2F3C" w:rsidP="001B2F3C">
      <w:pPr>
        <w:jc w:val="center"/>
        <w:rPr>
          <w:rFonts w:ascii="Arial" w:hAnsi="Arial" w:cs="Arial"/>
          <w:b/>
          <w:bCs/>
          <w:color w:val="282A2E" w:themeColor="text1"/>
          <w:sz w:val="18"/>
          <w:szCs w:val="18"/>
        </w:rPr>
      </w:pPr>
    </w:p>
    <w:tbl>
      <w:tblPr>
        <w:tblW w:w="9952" w:type="dxa"/>
        <w:jc w:val="center"/>
        <w:tblLayout w:type="fixed"/>
        <w:tblLook w:val="0600" w:firstRow="0" w:lastRow="0" w:firstColumn="0" w:lastColumn="0" w:noHBand="1" w:noVBand="1"/>
      </w:tblPr>
      <w:tblGrid>
        <w:gridCol w:w="2811"/>
        <w:gridCol w:w="758"/>
        <w:gridCol w:w="1427"/>
        <w:gridCol w:w="14"/>
        <w:gridCol w:w="659"/>
        <w:gridCol w:w="1389"/>
        <w:gridCol w:w="721"/>
        <w:gridCol w:w="1387"/>
        <w:gridCol w:w="786"/>
      </w:tblGrid>
      <w:tr w:rsidR="001B2F3C" w:rsidRPr="001B2F3C" w14:paraId="3D5951AB" w14:textId="77777777" w:rsidTr="006C34C7">
        <w:trPr>
          <w:trHeight w:val="255"/>
          <w:jc w:val="center"/>
        </w:trPr>
        <w:tc>
          <w:tcPr>
            <w:tcW w:w="1412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0B706" w14:textId="77777777" w:rsidR="001B2F3C" w:rsidRPr="001B2F3C" w:rsidRDefault="001B2F3C" w:rsidP="00B87807">
            <w:pPr>
              <w:ind w:left="-80" w:right="-128"/>
              <w:rPr>
                <w:rFonts w:ascii="Arial" w:hAnsi="Arial" w:cs="Arial"/>
                <w:caps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color w:val="282A2E" w:themeColor="text1"/>
                <w:sz w:val="18"/>
                <w:szCs w:val="18"/>
              </w:rPr>
              <w:t> </w:t>
            </w:r>
          </w:p>
        </w:tc>
        <w:tc>
          <w:tcPr>
            <w:tcW w:w="1105" w:type="pct"/>
            <w:gridSpan w:val="3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A2609" w14:textId="77777777" w:rsidR="001B2F3C" w:rsidRPr="001B2F3C" w:rsidRDefault="001B2F3C" w:rsidP="00B87807">
            <w:pPr>
              <w:spacing w:before="100" w:beforeAutospacing="1" w:after="100" w:afterAutospacing="1"/>
              <w:ind w:left="-107" w:right="-100"/>
              <w:jc w:val="center"/>
              <w:rPr>
                <w:rFonts w:ascii="Arial" w:hAnsi="Arial" w:cs="Arial"/>
                <w:caps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Рабочая сила</w:t>
            </w:r>
          </w:p>
        </w:tc>
        <w:tc>
          <w:tcPr>
            <w:tcW w:w="2088" w:type="pct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224B4" w14:textId="77777777" w:rsidR="001B2F3C" w:rsidRPr="001B2F3C" w:rsidRDefault="001B2F3C" w:rsidP="00B87807">
            <w:pPr>
              <w:spacing w:before="100" w:beforeAutospacing="1" w:after="100" w:afterAutospacing="1"/>
              <w:ind w:left="-107" w:right="-100"/>
              <w:jc w:val="center"/>
              <w:rPr>
                <w:rFonts w:ascii="Arial" w:hAnsi="Arial" w:cs="Arial"/>
                <w:caps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В том числе</w:t>
            </w:r>
          </w:p>
        </w:tc>
        <w:tc>
          <w:tcPr>
            <w:tcW w:w="395" w:type="pct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D16C391" w14:textId="77777777" w:rsidR="001B2F3C" w:rsidRPr="001B2F3C" w:rsidRDefault="001B2F3C" w:rsidP="00B87807">
            <w:pPr>
              <w:spacing w:before="100" w:beforeAutospacing="1" w:after="100" w:afterAutospacing="1"/>
              <w:ind w:left="-107" w:right="-100"/>
              <w:jc w:val="center"/>
              <w:rPr>
                <w:rFonts w:ascii="Arial" w:hAnsi="Arial" w:cs="Arial"/>
                <w:b/>
                <w:i/>
                <w:iCs/>
                <w:caps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Уровень</w:t>
            </w: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br/>
            </w:r>
            <w:proofErr w:type="spellStart"/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безрабо-тицы</w:t>
            </w:r>
            <w:proofErr w:type="spellEnd"/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,</w:t>
            </w: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br/>
              <w:t>%</w:t>
            </w:r>
          </w:p>
        </w:tc>
      </w:tr>
      <w:tr w:rsidR="001B2F3C" w:rsidRPr="001B2F3C" w14:paraId="04A2D5E0" w14:textId="77777777" w:rsidTr="006C34C7">
        <w:trPr>
          <w:trHeight w:val="255"/>
          <w:jc w:val="center"/>
        </w:trPr>
        <w:tc>
          <w:tcPr>
            <w:tcW w:w="1412" w:type="pct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EDC3D" w14:textId="77777777" w:rsidR="001B2F3C" w:rsidRPr="001B2F3C" w:rsidRDefault="001B2F3C" w:rsidP="00B87807">
            <w:pPr>
              <w:rPr>
                <w:rFonts w:ascii="Arial" w:hAnsi="Arial" w:cs="Arial"/>
                <w:caps/>
                <w:color w:val="282A2E" w:themeColor="text1"/>
                <w:sz w:val="18"/>
                <w:szCs w:val="18"/>
              </w:rPr>
            </w:pPr>
          </w:p>
        </w:tc>
        <w:tc>
          <w:tcPr>
            <w:tcW w:w="1105" w:type="pct"/>
            <w:gridSpan w:val="3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3D386" w14:textId="77777777" w:rsidR="001B2F3C" w:rsidRPr="001B2F3C" w:rsidRDefault="001B2F3C" w:rsidP="00B87807">
            <w:pPr>
              <w:rPr>
                <w:rFonts w:ascii="Arial" w:hAnsi="Arial" w:cs="Arial"/>
                <w:caps/>
                <w:color w:val="282A2E" w:themeColor="text1"/>
                <w:sz w:val="18"/>
                <w:szCs w:val="18"/>
              </w:rPr>
            </w:pPr>
          </w:p>
        </w:tc>
        <w:tc>
          <w:tcPr>
            <w:tcW w:w="10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67A78" w14:textId="77777777" w:rsidR="001B2F3C" w:rsidRPr="001B2F3C" w:rsidRDefault="001B2F3C" w:rsidP="00B87807">
            <w:pPr>
              <w:spacing w:before="100" w:beforeAutospacing="1" w:after="100" w:afterAutospacing="1"/>
              <w:ind w:left="-107" w:right="-100"/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занятые</w:t>
            </w:r>
          </w:p>
        </w:tc>
        <w:tc>
          <w:tcPr>
            <w:tcW w:w="10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52FAD" w14:textId="77777777" w:rsidR="001B2F3C" w:rsidRPr="001B2F3C" w:rsidRDefault="001B2F3C" w:rsidP="00B87807">
            <w:pPr>
              <w:spacing w:before="100" w:beforeAutospacing="1" w:after="100" w:afterAutospacing="1"/>
              <w:ind w:left="-107" w:right="-100"/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безработные</w:t>
            </w:r>
          </w:p>
        </w:tc>
        <w:tc>
          <w:tcPr>
            <w:tcW w:w="395" w:type="pct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7AD2D0D8" w14:textId="77777777" w:rsidR="001B2F3C" w:rsidRPr="001B2F3C" w:rsidRDefault="001B2F3C" w:rsidP="00B87807">
            <w:pPr>
              <w:rPr>
                <w:rFonts w:ascii="Arial" w:hAnsi="Arial" w:cs="Arial"/>
                <w:b/>
                <w:i/>
                <w:iCs/>
                <w:caps/>
                <w:color w:val="282A2E" w:themeColor="text1"/>
                <w:sz w:val="18"/>
                <w:szCs w:val="18"/>
              </w:rPr>
            </w:pPr>
          </w:p>
        </w:tc>
      </w:tr>
      <w:tr w:rsidR="001B2F3C" w:rsidRPr="001B2F3C" w14:paraId="30F68DFE" w14:textId="77777777" w:rsidTr="001B2F3C">
        <w:trPr>
          <w:trHeight w:val="397"/>
          <w:jc w:val="center"/>
        </w:trPr>
        <w:tc>
          <w:tcPr>
            <w:tcW w:w="1412" w:type="pct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98F6" w14:textId="77777777" w:rsidR="001B2F3C" w:rsidRPr="001B2F3C" w:rsidRDefault="001B2F3C" w:rsidP="00B87807">
            <w:pPr>
              <w:rPr>
                <w:rFonts w:ascii="Arial" w:hAnsi="Arial" w:cs="Arial"/>
                <w:caps/>
                <w:color w:val="282A2E" w:themeColor="text1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0041D" w14:textId="77777777" w:rsidR="001B2F3C" w:rsidRPr="001B2F3C" w:rsidRDefault="001B2F3C" w:rsidP="00B87807">
            <w:pPr>
              <w:spacing w:before="100" w:beforeAutospacing="1" w:after="100" w:afterAutospacing="1"/>
              <w:ind w:left="-107" w:right="-100"/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тыс.</w:t>
            </w: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br/>
              <w:t>человек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A91FF" w14:textId="77777777" w:rsidR="001B2F3C" w:rsidRPr="001B2F3C" w:rsidRDefault="001B2F3C" w:rsidP="00B87807">
            <w:pPr>
              <w:spacing w:before="100" w:beforeAutospacing="1" w:after="100" w:afterAutospacing="1"/>
              <w:ind w:left="-107" w:right="-100"/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в % к соответствую-</w:t>
            </w:r>
            <w:proofErr w:type="spellStart"/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щему</w:t>
            </w:r>
            <w:proofErr w:type="spellEnd"/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 xml:space="preserve"> периоду предыдущего года</w:t>
            </w:r>
          </w:p>
        </w:tc>
        <w:tc>
          <w:tcPr>
            <w:tcW w:w="3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FA5BA" w14:textId="77777777" w:rsidR="001B2F3C" w:rsidRPr="001B2F3C" w:rsidRDefault="001B2F3C" w:rsidP="00B87807">
            <w:pPr>
              <w:spacing w:before="100" w:beforeAutospacing="1" w:after="100" w:afterAutospacing="1"/>
              <w:ind w:left="-107" w:right="-100"/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тыс.</w:t>
            </w: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br/>
              <w:t>человек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58BFC" w14:textId="77777777" w:rsidR="001B2F3C" w:rsidRPr="001B2F3C" w:rsidRDefault="001B2F3C" w:rsidP="00B87807">
            <w:pPr>
              <w:spacing w:after="100" w:afterAutospacing="1"/>
              <w:ind w:left="-108" w:right="-102"/>
              <w:contextualSpacing/>
              <w:jc w:val="center"/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в % к</w:t>
            </w:r>
          </w:p>
          <w:p w14:paraId="73C84452" w14:textId="77777777" w:rsidR="001B2F3C" w:rsidRPr="001B2F3C" w:rsidRDefault="001B2F3C" w:rsidP="00B87807">
            <w:pPr>
              <w:spacing w:after="100" w:afterAutospacing="1"/>
              <w:ind w:left="-108" w:right="-102"/>
              <w:contextualSpacing/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соответствую-</w:t>
            </w:r>
            <w:proofErr w:type="spellStart"/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щему</w:t>
            </w:r>
            <w:proofErr w:type="spellEnd"/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 xml:space="preserve"> периоду предыдущего года</w:t>
            </w:r>
          </w:p>
        </w:tc>
        <w:tc>
          <w:tcPr>
            <w:tcW w:w="3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1EEB4" w14:textId="77777777" w:rsidR="001B2F3C" w:rsidRPr="001B2F3C" w:rsidRDefault="001B2F3C" w:rsidP="00B87807">
            <w:pPr>
              <w:spacing w:before="100" w:beforeAutospacing="1" w:after="100" w:afterAutospacing="1"/>
              <w:ind w:left="-107" w:right="-100"/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тыс.</w:t>
            </w: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br/>
              <w:t>человек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F6567" w14:textId="77777777" w:rsidR="001B2F3C" w:rsidRPr="001B2F3C" w:rsidRDefault="001B2F3C" w:rsidP="00B87807">
            <w:pPr>
              <w:spacing w:before="100" w:beforeAutospacing="1" w:after="100" w:afterAutospacing="1"/>
              <w:ind w:left="-108" w:right="-102"/>
              <w:contextualSpacing/>
              <w:jc w:val="center"/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в % к</w:t>
            </w:r>
          </w:p>
          <w:p w14:paraId="56C1FD7A" w14:textId="77777777" w:rsidR="001B2F3C" w:rsidRPr="001B2F3C" w:rsidRDefault="001B2F3C" w:rsidP="00B87807">
            <w:pPr>
              <w:spacing w:before="100" w:beforeAutospacing="1" w:after="100" w:afterAutospacing="1"/>
              <w:ind w:left="-108" w:right="-102"/>
              <w:contextualSpacing/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соответствую-</w:t>
            </w:r>
            <w:proofErr w:type="spellStart"/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>щему</w:t>
            </w:r>
            <w:proofErr w:type="spellEnd"/>
            <w:r w:rsidRPr="001B2F3C">
              <w:rPr>
                <w:rFonts w:ascii="Arial" w:hAnsi="Arial" w:cs="Arial"/>
                <w:i/>
                <w:iCs/>
                <w:color w:val="282A2E" w:themeColor="text1"/>
                <w:sz w:val="18"/>
                <w:szCs w:val="18"/>
              </w:rPr>
              <w:t xml:space="preserve"> периоду предыдущего года</w:t>
            </w:r>
          </w:p>
        </w:tc>
        <w:tc>
          <w:tcPr>
            <w:tcW w:w="395" w:type="pct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B262216" w14:textId="77777777" w:rsidR="001B2F3C" w:rsidRPr="001B2F3C" w:rsidRDefault="001B2F3C" w:rsidP="00B87807">
            <w:pPr>
              <w:rPr>
                <w:rFonts w:ascii="Arial" w:hAnsi="Arial" w:cs="Arial"/>
                <w:b/>
                <w:i/>
                <w:iCs/>
                <w:caps/>
                <w:color w:val="282A2E" w:themeColor="text1"/>
                <w:sz w:val="18"/>
                <w:szCs w:val="18"/>
              </w:rPr>
            </w:pPr>
          </w:p>
        </w:tc>
      </w:tr>
      <w:tr w:rsidR="001B2F3C" w:rsidRPr="001B2F3C" w14:paraId="2CB7ADFE" w14:textId="77777777" w:rsidTr="001B2F3C">
        <w:trPr>
          <w:trHeight w:val="397"/>
          <w:jc w:val="center"/>
        </w:trPr>
        <w:tc>
          <w:tcPr>
            <w:tcW w:w="1412" w:type="pct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2279B" w14:textId="77777777" w:rsidR="001B2F3C" w:rsidRPr="001B2F3C" w:rsidRDefault="001B2F3C" w:rsidP="00B87807">
            <w:pPr>
              <w:rPr>
                <w:rFonts w:ascii="Arial" w:hAnsi="Arial" w:cs="Arial"/>
                <w:caps/>
                <w:color w:val="282A2E" w:themeColor="text1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65973" w14:textId="77777777" w:rsidR="001B2F3C" w:rsidRPr="001B2F3C" w:rsidRDefault="001B2F3C" w:rsidP="00B87807">
            <w:pPr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593C" w14:textId="77777777" w:rsidR="001B2F3C" w:rsidRPr="001B2F3C" w:rsidRDefault="001B2F3C" w:rsidP="00B87807">
            <w:pPr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61F14" w14:textId="77777777" w:rsidR="001B2F3C" w:rsidRPr="001B2F3C" w:rsidRDefault="001B2F3C" w:rsidP="00B87807">
            <w:pPr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2F24B" w14:textId="77777777" w:rsidR="001B2F3C" w:rsidRPr="001B2F3C" w:rsidRDefault="001B2F3C" w:rsidP="00B87807">
            <w:pPr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611A5" w14:textId="77777777" w:rsidR="001B2F3C" w:rsidRPr="001B2F3C" w:rsidRDefault="001B2F3C" w:rsidP="00B87807">
            <w:pPr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BE15" w14:textId="77777777" w:rsidR="001B2F3C" w:rsidRPr="001B2F3C" w:rsidRDefault="001B2F3C" w:rsidP="00B87807">
            <w:pPr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7E5C0EFB" w14:textId="77777777" w:rsidR="001B2F3C" w:rsidRPr="001B2F3C" w:rsidRDefault="001B2F3C" w:rsidP="00B87807">
            <w:pPr>
              <w:rPr>
                <w:rFonts w:ascii="Arial" w:hAnsi="Arial" w:cs="Arial"/>
                <w:b/>
                <w:i/>
                <w:iCs/>
                <w:caps/>
                <w:color w:val="282A2E" w:themeColor="text1"/>
                <w:sz w:val="18"/>
                <w:szCs w:val="18"/>
              </w:rPr>
            </w:pPr>
          </w:p>
        </w:tc>
      </w:tr>
      <w:tr w:rsidR="001B2F3C" w:rsidRPr="001B2F3C" w14:paraId="53929459" w14:textId="77777777" w:rsidTr="001B2F3C">
        <w:trPr>
          <w:trHeight w:val="255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bottom"/>
            <w:hideMark/>
          </w:tcPr>
          <w:p w14:paraId="1D9AB807" w14:textId="77777777" w:rsidR="001B2F3C" w:rsidRPr="001B2F3C" w:rsidRDefault="001B2F3C" w:rsidP="00B87807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color w:val="282A2E" w:themeColor="text1"/>
                <w:sz w:val="18"/>
                <w:szCs w:val="18"/>
              </w:rPr>
              <w:t>2023г.</w:t>
            </w:r>
          </w:p>
        </w:tc>
      </w:tr>
      <w:tr w:rsidR="00121200" w:rsidRPr="001B2F3C" w14:paraId="7A7A4C99" w14:textId="77777777" w:rsidTr="00613D9D">
        <w:trPr>
          <w:trHeight w:val="255"/>
          <w:jc w:val="center"/>
        </w:trPr>
        <w:tc>
          <w:tcPr>
            <w:tcW w:w="141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50953E" w14:textId="3CD9E546" w:rsidR="00121200" w:rsidRPr="001B2F3C" w:rsidRDefault="00C545C4" w:rsidP="00121200">
            <w:pPr>
              <w:ind w:left="-10" w:right="-110"/>
              <w:rPr>
                <w:rFonts w:ascii="Arial" w:hAnsi="Arial" w:cs="Arial"/>
                <w:bCs/>
                <w:iCs/>
                <w:color w:val="282A2E" w:themeColor="text1"/>
                <w:sz w:val="18"/>
                <w:szCs w:val="18"/>
              </w:rPr>
            </w:pPr>
            <w:r w:rsidRPr="00C545C4">
              <w:rPr>
                <w:rFonts w:ascii="Arial" w:hAnsi="Arial" w:cs="Arial"/>
                <w:bCs/>
                <w:iCs/>
                <w:color w:val="282A2E" w:themeColor="text1"/>
                <w:sz w:val="18"/>
                <w:szCs w:val="18"/>
              </w:rPr>
              <w:t>В среднем за 3 квартал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A5253" w14:textId="4E8986A8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653,9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51C16" w14:textId="4AB90A70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33AFB" w14:textId="1B8CDED5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584,3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A717F" w14:textId="62311F5C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0E575" w14:textId="68C30378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AEEA" w14:textId="05E06F56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8763920" w14:textId="617A3726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</w:tr>
      <w:tr w:rsidR="001B2F3C" w:rsidRPr="001B2F3C" w14:paraId="67093C6D" w14:textId="77777777" w:rsidTr="001B2F3C">
        <w:trPr>
          <w:trHeight w:val="255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bottom"/>
            <w:hideMark/>
          </w:tcPr>
          <w:p w14:paraId="19582ED4" w14:textId="77777777" w:rsidR="001B2F3C" w:rsidRPr="001B2F3C" w:rsidRDefault="001B2F3C" w:rsidP="00B87807">
            <w:pPr>
              <w:jc w:val="center"/>
              <w:rPr>
                <w:rFonts w:ascii="Arial" w:hAnsi="Arial" w:cs="Arial"/>
                <w:i/>
                <w:color w:val="282A2E" w:themeColor="text1"/>
                <w:sz w:val="18"/>
                <w:szCs w:val="18"/>
              </w:rPr>
            </w:pPr>
            <w:r w:rsidRPr="001B2F3C">
              <w:rPr>
                <w:rFonts w:ascii="Arial" w:hAnsi="Arial" w:cs="Arial"/>
                <w:color w:val="282A2E" w:themeColor="text1"/>
                <w:sz w:val="18"/>
                <w:szCs w:val="18"/>
              </w:rPr>
              <w:t>2024г.</w:t>
            </w:r>
          </w:p>
        </w:tc>
      </w:tr>
      <w:tr w:rsidR="00121200" w:rsidRPr="001B2F3C" w14:paraId="4C21E5F9" w14:textId="77777777" w:rsidTr="00D23C02">
        <w:trPr>
          <w:trHeight w:val="255"/>
          <w:jc w:val="center"/>
        </w:trPr>
        <w:tc>
          <w:tcPr>
            <w:tcW w:w="1412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69389131" w14:textId="66A3242E" w:rsidR="00121200" w:rsidRPr="001B2F3C" w:rsidRDefault="00E043F4" w:rsidP="00121200">
            <w:pPr>
              <w:ind w:left="-10" w:right="-110"/>
              <w:rPr>
                <w:rFonts w:ascii="Arial" w:hAnsi="Arial" w:cs="Arial"/>
                <w:bCs/>
                <w:iCs/>
                <w:color w:val="282A2E" w:themeColor="text1"/>
                <w:sz w:val="18"/>
                <w:szCs w:val="18"/>
              </w:rPr>
            </w:pPr>
            <w:r w:rsidRPr="00E043F4">
              <w:rPr>
                <w:rFonts w:ascii="Arial" w:hAnsi="Arial" w:cs="Arial"/>
                <w:bCs/>
                <w:iCs/>
                <w:color w:val="282A2E" w:themeColor="text1"/>
                <w:sz w:val="18"/>
                <w:szCs w:val="18"/>
              </w:rPr>
              <w:t>В среднем за 3 квартал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A26FD96" w14:textId="525363D7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658,3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4DB35D8" w14:textId="3CE7EF1A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338" w:type="pct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8AD447B" w14:textId="4AD58F09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604,2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A29188B" w14:textId="2A113A91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59F81FB" w14:textId="1C06FE64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54,1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34A7332" w14:textId="3CA2383C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A320620" w14:textId="5441AE14" w:rsidR="00121200" w:rsidRPr="00121200" w:rsidRDefault="00121200" w:rsidP="00121200">
            <w:pPr>
              <w:jc w:val="center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121200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</w:tr>
    </w:tbl>
    <w:p w14:paraId="6774F1D3" w14:textId="5F40E1A2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571CDD17" w14:textId="01705670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4DB0C840" w14:textId="427260C1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38F6A3A2" w14:textId="34F45F84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1E0110B7" w14:textId="345E953A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2B8F8E8A" w14:textId="68B8DD2E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170A09E0" w14:textId="772999E2" w:rsidR="001B2F3C" w:rsidRDefault="001B2F3C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12016632" w14:textId="5ABA3FA3" w:rsidR="001B2F3C" w:rsidRDefault="001B2F3C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36284840" w14:textId="426898A4" w:rsidR="001B2F3C" w:rsidRDefault="001B2F3C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41B499CE" w14:textId="487D3F97" w:rsidR="001B2F3C" w:rsidRDefault="001B2F3C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07FD4FD6" w14:textId="1BEC7F44" w:rsidR="001B2F3C" w:rsidRDefault="001B2F3C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5ADB01DC" w14:textId="1EE32A91" w:rsidR="001B2F3C" w:rsidRDefault="001B2F3C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0BE4C7C2" w14:textId="3C824171" w:rsidR="001B2F3C" w:rsidRDefault="001B2F3C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6C154EE2" w14:textId="609D0AAC" w:rsidR="006C34C7" w:rsidRDefault="006C34C7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03AF5D74" w14:textId="0CBCC8B3" w:rsidR="006C34C7" w:rsidRDefault="006C34C7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416C44E8" w14:textId="77777777" w:rsidR="006C34C7" w:rsidRDefault="006C34C7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04FB14C5" w14:textId="060DDF0C" w:rsidR="001B2F3C" w:rsidRDefault="001B2F3C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5F619486" w14:textId="559DEDB0" w:rsidR="006C34C7" w:rsidRPr="002A6341" w:rsidRDefault="001B2F3C" w:rsidP="002A6341">
      <w:pPr>
        <w:rPr>
          <w:rFonts w:ascii="Arial" w:eastAsia="Calibri" w:hAnsi="Arial" w:cs="Arial"/>
          <w:color w:val="808080"/>
          <w:sz w:val="18"/>
          <w:szCs w:val="18"/>
        </w:rPr>
      </w:pPr>
      <w:r>
        <w:rPr>
          <w:rFonts w:ascii="Arial" w:eastAsia="Calibri" w:hAnsi="Arial" w:cs="Arial"/>
          <w:color w:val="808080"/>
          <w:sz w:val="18"/>
          <w:szCs w:val="18"/>
        </w:rPr>
        <w:t xml:space="preserve">* </w:t>
      </w:r>
      <w:proofErr w:type="gramStart"/>
      <w:r w:rsidRPr="004C2070">
        <w:rPr>
          <w:rFonts w:ascii="Arial" w:eastAsia="Calibri" w:hAnsi="Arial" w:cs="Arial"/>
          <w:color w:val="808080"/>
          <w:sz w:val="18"/>
          <w:szCs w:val="18"/>
        </w:rPr>
        <w:t>В</w:t>
      </w:r>
      <w:proofErr w:type="gramEnd"/>
      <w:r w:rsidRPr="004C2070">
        <w:rPr>
          <w:rFonts w:ascii="Arial" w:eastAsia="Calibri" w:hAnsi="Arial" w:cs="Arial"/>
          <w:color w:val="808080"/>
          <w:sz w:val="18"/>
          <w:szCs w:val="18"/>
        </w:rPr>
        <w:t xml:space="preserve"> целях повышения представительности данных о рабочей силе населения показатели занятости и безработицы по субъектам Российской Федерации приводятся в среднем за последние три месяца.</w:t>
      </w:r>
    </w:p>
    <w:p w14:paraId="791FCA52" w14:textId="10B7FD79" w:rsidR="006C34C7" w:rsidRPr="004C2070" w:rsidRDefault="006C34C7" w:rsidP="004C2070">
      <w:pPr>
        <w:rPr>
          <w:rFonts w:ascii="Arial" w:eastAsia="Calibri" w:hAnsi="Arial" w:cs="Arial"/>
          <w:color w:val="808080"/>
          <w:sz w:val="18"/>
          <w:szCs w:val="18"/>
        </w:rPr>
      </w:pPr>
      <w:bookmarkStart w:id="0" w:name="_GoBack"/>
      <w:bookmarkEnd w:id="0"/>
    </w:p>
    <w:sectPr w:rsidR="006C34C7" w:rsidRPr="004C2070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3B92F" w14:textId="77777777" w:rsidR="00132CA0" w:rsidRDefault="00132CA0" w:rsidP="000A4F53">
      <w:pPr>
        <w:spacing w:after="0" w:line="240" w:lineRule="auto"/>
      </w:pPr>
      <w:r>
        <w:separator/>
      </w:r>
    </w:p>
  </w:endnote>
  <w:endnote w:type="continuationSeparator" w:id="0">
    <w:p w14:paraId="5CFC17EC" w14:textId="77777777" w:rsidR="00132CA0" w:rsidRDefault="00132CA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4743D7BB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A6341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00240" w14:textId="77777777" w:rsidR="00132CA0" w:rsidRDefault="00132CA0" w:rsidP="000A4F53">
      <w:pPr>
        <w:spacing w:after="0" w:line="240" w:lineRule="auto"/>
      </w:pPr>
      <w:r>
        <w:separator/>
      </w:r>
    </w:p>
  </w:footnote>
  <w:footnote w:type="continuationSeparator" w:id="0">
    <w:p w14:paraId="0BD8D8A1" w14:textId="77777777" w:rsidR="00132CA0" w:rsidRDefault="00132CA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4464"/>
    <w:multiLevelType w:val="hybridMultilevel"/>
    <w:tmpl w:val="1AB04E66"/>
    <w:lvl w:ilvl="0" w:tplc="B6429AB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6854D1"/>
    <w:multiLevelType w:val="hybridMultilevel"/>
    <w:tmpl w:val="10A01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9113F"/>
    <w:multiLevelType w:val="hybridMultilevel"/>
    <w:tmpl w:val="A4608098"/>
    <w:lvl w:ilvl="0" w:tplc="4B3E1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3175"/>
    <w:rsid w:val="000403CF"/>
    <w:rsid w:val="00051E42"/>
    <w:rsid w:val="000833E5"/>
    <w:rsid w:val="000A4F53"/>
    <w:rsid w:val="00121200"/>
    <w:rsid w:val="00122B57"/>
    <w:rsid w:val="00132CA0"/>
    <w:rsid w:val="001770CE"/>
    <w:rsid w:val="001930A4"/>
    <w:rsid w:val="001B2F3C"/>
    <w:rsid w:val="001C2934"/>
    <w:rsid w:val="001E4C22"/>
    <w:rsid w:val="001F11DC"/>
    <w:rsid w:val="001F66AB"/>
    <w:rsid w:val="001F76C9"/>
    <w:rsid w:val="0021605C"/>
    <w:rsid w:val="00216178"/>
    <w:rsid w:val="002370CF"/>
    <w:rsid w:val="00240DA0"/>
    <w:rsid w:val="002A6341"/>
    <w:rsid w:val="002D799B"/>
    <w:rsid w:val="002E36A3"/>
    <w:rsid w:val="002E38E3"/>
    <w:rsid w:val="002E4066"/>
    <w:rsid w:val="002F12D4"/>
    <w:rsid w:val="002F43A8"/>
    <w:rsid w:val="003248EE"/>
    <w:rsid w:val="0034350E"/>
    <w:rsid w:val="003A5A4A"/>
    <w:rsid w:val="003D465C"/>
    <w:rsid w:val="003D505E"/>
    <w:rsid w:val="00401FF7"/>
    <w:rsid w:val="00442CD1"/>
    <w:rsid w:val="00477840"/>
    <w:rsid w:val="004A6A7E"/>
    <w:rsid w:val="004C2070"/>
    <w:rsid w:val="004D4A37"/>
    <w:rsid w:val="0050523C"/>
    <w:rsid w:val="00574FA2"/>
    <w:rsid w:val="0058188C"/>
    <w:rsid w:val="00597FF3"/>
    <w:rsid w:val="005C2DFD"/>
    <w:rsid w:val="005F45B8"/>
    <w:rsid w:val="00603337"/>
    <w:rsid w:val="00641BAF"/>
    <w:rsid w:val="0065389D"/>
    <w:rsid w:val="00665C52"/>
    <w:rsid w:val="006C34C7"/>
    <w:rsid w:val="006C52D4"/>
    <w:rsid w:val="006D0D8F"/>
    <w:rsid w:val="006D3A24"/>
    <w:rsid w:val="006E3AA0"/>
    <w:rsid w:val="006E4E9E"/>
    <w:rsid w:val="00700EC4"/>
    <w:rsid w:val="007238E9"/>
    <w:rsid w:val="00750F0F"/>
    <w:rsid w:val="007579C9"/>
    <w:rsid w:val="0079541A"/>
    <w:rsid w:val="007B7A60"/>
    <w:rsid w:val="007C5BAA"/>
    <w:rsid w:val="007E1C65"/>
    <w:rsid w:val="008076BC"/>
    <w:rsid w:val="0081278D"/>
    <w:rsid w:val="00826E1A"/>
    <w:rsid w:val="00847881"/>
    <w:rsid w:val="00851800"/>
    <w:rsid w:val="00877A93"/>
    <w:rsid w:val="008B180A"/>
    <w:rsid w:val="008C17F5"/>
    <w:rsid w:val="00921D17"/>
    <w:rsid w:val="00925A69"/>
    <w:rsid w:val="0094288E"/>
    <w:rsid w:val="00963CEE"/>
    <w:rsid w:val="009C3F79"/>
    <w:rsid w:val="009D4ABE"/>
    <w:rsid w:val="009E5E9D"/>
    <w:rsid w:val="00A047D5"/>
    <w:rsid w:val="00A06F52"/>
    <w:rsid w:val="00A27F77"/>
    <w:rsid w:val="00A55B1C"/>
    <w:rsid w:val="00A623A9"/>
    <w:rsid w:val="00A86EA1"/>
    <w:rsid w:val="00B21A4C"/>
    <w:rsid w:val="00B4544A"/>
    <w:rsid w:val="00B51013"/>
    <w:rsid w:val="00B74B22"/>
    <w:rsid w:val="00B92DDB"/>
    <w:rsid w:val="00B95517"/>
    <w:rsid w:val="00B95F55"/>
    <w:rsid w:val="00BA4305"/>
    <w:rsid w:val="00BB72E2"/>
    <w:rsid w:val="00BC1235"/>
    <w:rsid w:val="00BD3503"/>
    <w:rsid w:val="00BE0205"/>
    <w:rsid w:val="00BF1D43"/>
    <w:rsid w:val="00C545C4"/>
    <w:rsid w:val="00C71120"/>
    <w:rsid w:val="00C96FCA"/>
    <w:rsid w:val="00CA0225"/>
    <w:rsid w:val="00CA1919"/>
    <w:rsid w:val="00CC4110"/>
    <w:rsid w:val="00CD7BBB"/>
    <w:rsid w:val="00D01057"/>
    <w:rsid w:val="00D04954"/>
    <w:rsid w:val="00D55929"/>
    <w:rsid w:val="00D55ECE"/>
    <w:rsid w:val="00D61110"/>
    <w:rsid w:val="00D67191"/>
    <w:rsid w:val="00D824D2"/>
    <w:rsid w:val="00DA01F7"/>
    <w:rsid w:val="00DB5ABF"/>
    <w:rsid w:val="00DC3D74"/>
    <w:rsid w:val="00DD4F27"/>
    <w:rsid w:val="00DF5A41"/>
    <w:rsid w:val="00E043F4"/>
    <w:rsid w:val="00E35C33"/>
    <w:rsid w:val="00E56B7F"/>
    <w:rsid w:val="00E74E45"/>
    <w:rsid w:val="00E915BD"/>
    <w:rsid w:val="00EA43C7"/>
    <w:rsid w:val="00F25647"/>
    <w:rsid w:val="00F35A65"/>
    <w:rsid w:val="00F37CFA"/>
    <w:rsid w:val="00F52E4C"/>
    <w:rsid w:val="00FB1A31"/>
    <w:rsid w:val="00FC0FF7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  <w15:docId w15:val="{659A0DC9-CE20-4CCE-AF2D-F1DD5EA3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C7"/>
  </w:style>
  <w:style w:type="paragraph" w:styleId="6">
    <w:name w:val="heading 6"/>
    <w:basedOn w:val="a"/>
    <w:next w:val="a"/>
    <w:link w:val="60"/>
    <w:uiPriority w:val="99"/>
    <w:qFormat/>
    <w:rsid w:val="001B2F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5F5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9"/>
    <w:rsid w:val="001B2F3C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A9E9-9ADF-443F-A0F5-FFCEF194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Джудаева Зарема Рукмановна</cp:lastModifiedBy>
  <cp:revision>15</cp:revision>
  <cp:lastPrinted>2024-11-12T13:12:00Z</cp:lastPrinted>
  <dcterms:created xsi:type="dcterms:W3CDTF">2024-07-10T13:45:00Z</dcterms:created>
  <dcterms:modified xsi:type="dcterms:W3CDTF">2024-11-12T13:15:00Z</dcterms:modified>
</cp:coreProperties>
</file>